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B5B60" w:rsidRDefault="00FB5B60" w:rsidP="00FB5B60">
      <w:pPr>
        <w:autoSpaceDE w:val="0"/>
        <w:autoSpaceDN w:val="0"/>
        <w:adjustRightInd w:val="0"/>
        <w:spacing w:after="0" w:line="240" w:lineRule="auto"/>
        <w:rPr>
          <w:rFonts w:ascii="Calibri,Bold" w:hAnsi="Calibri,Bold" w:cs="Calibri,Bold"/>
          <w:b/>
          <w:bCs/>
          <w:sz w:val="20"/>
          <w:szCs w:val="20"/>
        </w:rPr>
      </w:pPr>
      <w:bookmarkStart w:id="0" w:name="_GoBack"/>
      <w:bookmarkEnd w:id="0"/>
    </w:p>
    <w:p w:rsidR="00FB5B60" w:rsidRDefault="00FB5B60" w:rsidP="00FB5B60">
      <w:pPr>
        <w:autoSpaceDE w:val="0"/>
        <w:autoSpaceDN w:val="0"/>
        <w:adjustRightInd w:val="0"/>
        <w:spacing w:after="0" w:line="240" w:lineRule="auto"/>
        <w:rPr>
          <w:rFonts w:ascii="Calibri,Bold" w:hAnsi="Calibri,Bold" w:cs="Calibri,Bold"/>
          <w:b/>
          <w:bCs/>
          <w:sz w:val="20"/>
          <w:szCs w:val="20"/>
        </w:rPr>
      </w:pPr>
    </w:p>
    <w:p w:rsidR="00FB5B60" w:rsidRPr="00C3645D" w:rsidRDefault="00FB5B60" w:rsidP="00FB5B60">
      <w:pPr>
        <w:autoSpaceDE w:val="0"/>
        <w:autoSpaceDN w:val="0"/>
        <w:adjustRightInd w:val="0"/>
        <w:spacing w:after="0" w:line="240" w:lineRule="auto"/>
        <w:jc w:val="center"/>
        <w:rPr>
          <w:rFonts w:ascii="Tw Cen MT" w:hAnsi="Tw Cen MT" w:cs="Calibri,Bold"/>
          <w:b/>
          <w:bCs/>
          <w:sz w:val="28"/>
          <w:szCs w:val="28"/>
        </w:rPr>
      </w:pPr>
      <w:r>
        <w:rPr>
          <w:rFonts w:ascii="Tw Cen MT" w:hAnsi="Tw Cen MT" w:cs="Calibri,Bold"/>
          <w:b/>
          <w:bCs/>
          <w:sz w:val="28"/>
          <w:szCs w:val="28"/>
        </w:rPr>
        <w:t>Governance and Leadership</w:t>
      </w:r>
    </w:p>
    <w:p w:rsidR="00FB5B60" w:rsidRPr="00C3645D" w:rsidRDefault="00FB5B60" w:rsidP="00FB5B60">
      <w:pPr>
        <w:autoSpaceDE w:val="0"/>
        <w:autoSpaceDN w:val="0"/>
        <w:adjustRightInd w:val="0"/>
        <w:spacing w:after="0" w:line="240" w:lineRule="auto"/>
        <w:rPr>
          <w:rFonts w:ascii="Tw Cen MT" w:hAnsi="Tw Cen MT" w:cs="Calibri,Bold"/>
          <w:b/>
          <w:bCs/>
          <w:sz w:val="24"/>
          <w:szCs w:val="24"/>
        </w:rPr>
      </w:pPr>
    </w:p>
    <w:p w:rsidR="00FB5B60" w:rsidRPr="00FB5B60" w:rsidRDefault="00FB5B60" w:rsidP="00FB5B60">
      <w:pPr>
        <w:autoSpaceDE w:val="0"/>
        <w:autoSpaceDN w:val="0"/>
        <w:adjustRightInd w:val="0"/>
        <w:spacing w:after="0" w:line="240" w:lineRule="auto"/>
        <w:rPr>
          <w:rFonts w:ascii="Tw Cen MT" w:hAnsi="Tw Cen MT" w:cs="Calibri,Bold"/>
          <w:b/>
          <w:bCs/>
          <w:sz w:val="24"/>
          <w:szCs w:val="24"/>
        </w:rPr>
      </w:pPr>
      <w:r w:rsidRPr="00FB5B60">
        <w:rPr>
          <w:rFonts w:ascii="Tw Cen MT" w:hAnsi="Tw Cen MT" w:cs="Calibri,Bold"/>
          <w:b/>
          <w:bCs/>
          <w:sz w:val="24"/>
          <w:szCs w:val="24"/>
        </w:rPr>
        <w:t>Introduction for GCC—</w:t>
      </w:r>
    </w:p>
    <w:p w:rsidR="00FB5B60" w:rsidRPr="00FB5B60" w:rsidRDefault="00FB5B60" w:rsidP="00FB5B60">
      <w:pPr>
        <w:autoSpaceDE w:val="0"/>
        <w:autoSpaceDN w:val="0"/>
        <w:adjustRightInd w:val="0"/>
        <w:spacing w:after="0" w:line="240" w:lineRule="auto"/>
        <w:rPr>
          <w:rFonts w:ascii="Tw Cen MT" w:hAnsi="Tw Cen MT" w:cs="Calibri,Bold"/>
          <w:b/>
          <w:bCs/>
          <w:sz w:val="24"/>
          <w:szCs w:val="24"/>
        </w:rPr>
      </w:pPr>
    </w:p>
    <w:p w:rsidR="00FB5B60" w:rsidRPr="00FB5B60" w:rsidRDefault="00FB5B60" w:rsidP="00FB5B60">
      <w:pPr>
        <w:autoSpaceDE w:val="0"/>
        <w:autoSpaceDN w:val="0"/>
        <w:adjustRightInd w:val="0"/>
        <w:spacing w:after="0" w:line="240" w:lineRule="auto"/>
        <w:rPr>
          <w:rFonts w:ascii="Tw Cen MT" w:hAnsi="Tw Cen MT" w:cs="Calibri,Bold"/>
          <w:b/>
          <w:bCs/>
          <w:sz w:val="24"/>
          <w:szCs w:val="24"/>
        </w:rPr>
      </w:pPr>
      <w:r w:rsidRPr="00FB5B60">
        <w:rPr>
          <w:rFonts w:ascii="Tw Cen MT" w:hAnsi="Tw Cen MT" w:cs="Calibri,Bold"/>
          <w:b/>
          <w:bCs/>
          <w:sz w:val="24"/>
          <w:szCs w:val="24"/>
        </w:rPr>
        <w:t>GCC is in the process of re-evaluating and reinventing itself. While we do have membership guidelines, and they are posted on our website, the decision at the Spring 2016 Workshop was to make the group more inclusive.</w:t>
      </w:r>
    </w:p>
    <w:p w:rsidR="00FB5B60" w:rsidRPr="00FB5B60" w:rsidRDefault="00FB5B60" w:rsidP="00FB5B60">
      <w:pPr>
        <w:autoSpaceDE w:val="0"/>
        <w:autoSpaceDN w:val="0"/>
        <w:adjustRightInd w:val="0"/>
        <w:spacing w:after="0" w:line="240" w:lineRule="auto"/>
        <w:rPr>
          <w:rFonts w:ascii="Tw Cen MT" w:hAnsi="Tw Cen MT" w:cs="Calibri,Bold"/>
          <w:b/>
          <w:bCs/>
          <w:sz w:val="24"/>
          <w:szCs w:val="24"/>
        </w:rPr>
      </w:pPr>
    </w:p>
    <w:p w:rsidR="00FB5B60" w:rsidRPr="00FB5B60" w:rsidRDefault="00FB5B60" w:rsidP="00FB5B60">
      <w:pPr>
        <w:autoSpaceDE w:val="0"/>
        <w:autoSpaceDN w:val="0"/>
        <w:adjustRightInd w:val="0"/>
        <w:spacing w:after="0" w:line="240" w:lineRule="auto"/>
        <w:rPr>
          <w:rFonts w:ascii="Tw Cen MT" w:hAnsi="Tw Cen MT" w:cs="Calibri,Bold"/>
          <w:b/>
          <w:bCs/>
          <w:sz w:val="24"/>
          <w:szCs w:val="24"/>
        </w:rPr>
      </w:pPr>
      <w:r w:rsidRPr="00FB5B60">
        <w:rPr>
          <w:rFonts w:ascii="Tw Cen MT" w:hAnsi="Tw Cen MT" w:cs="Calibri,Bold"/>
          <w:b/>
          <w:bCs/>
          <w:sz w:val="24"/>
          <w:szCs w:val="24"/>
        </w:rPr>
        <w:t>This work is underway and will be concluded in Fall 2016.</w:t>
      </w:r>
    </w:p>
    <w:p w:rsidR="00FB5B60" w:rsidRPr="00FB5B60" w:rsidRDefault="00FB5B60" w:rsidP="00FB5B60">
      <w:pPr>
        <w:autoSpaceDE w:val="0"/>
        <w:autoSpaceDN w:val="0"/>
        <w:adjustRightInd w:val="0"/>
        <w:spacing w:after="0" w:line="240" w:lineRule="auto"/>
        <w:rPr>
          <w:rFonts w:ascii="Tw Cen MT" w:hAnsi="Tw Cen MT" w:cs="Calibri,Bold"/>
          <w:b/>
          <w:bCs/>
          <w:sz w:val="24"/>
          <w:szCs w:val="24"/>
        </w:rPr>
      </w:pPr>
    </w:p>
    <w:p w:rsidR="00FB5B60" w:rsidRPr="00FB5B60" w:rsidRDefault="00FB5B60" w:rsidP="00FB5B60">
      <w:pPr>
        <w:autoSpaceDE w:val="0"/>
        <w:autoSpaceDN w:val="0"/>
        <w:adjustRightInd w:val="0"/>
        <w:spacing w:after="0" w:line="240" w:lineRule="auto"/>
        <w:rPr>
          <w:rFonts w:ascii="Tw Cen MT" w:hAnsi="Tw Cen MT" w:cs="Calibri,Bold"/>
          <w:b/>
          <w:bCs/>
          <w:sz w:val="24"/>
          <w:szCs w:val="24"/>
        </w:rPr>
      </w:pPr>
      <w:r w:rsidRPr="00FB5B60">
        <w:rPr>
          <w:rFonts w:ascii="Tw Cen MT" w:hAnsi="Tw Cen MT" w:cs="Calibri,Bold"/>
          <w:b/>
          <w:bCs/>
          <w:sz w:val="24"/>
          <w:szCs w:val="24"/>
        </w:rPr>
        <w:t>The previous Governance Document was adopted in 2008 and updated in 2012.</w:t>
      </w:r>
    </w:p>
    <w:p w:rsidR="00FB5B60" w:rsidRPr="00FB5B60" w:rsidRDefault="00FB5B60" w:rsidP="00FB5B60">
      <w:pPr>
        <w:autoSpaceDE w:val="0"/>
        <w:autoSpaceDN w:val="0"/>
        <w:adjustRightInd w:val="0"/>
        <w:spacing w:after="0" w:line="240" w:lineRule="auto"/>
        <w:rPr>
          <w:rFonts w:ascii="Tw Cen MT" w:hAnsi="Tw Cen MT" w:cs="Calibri,Bold"/>
          <w:b/>
          <w:bCs/>
          <w:sz w:val="24"/>
          <w:szCs w:val="24"/>
        </w:rPr>
      </w:pPr>
    </w:p>
    <w:p w:rsidR="00FB5B60" w:rsidRPr="00FB5B60" w:rsidRDefault="00FB5B60" w:rsidP="00FB5B60">
      <w:pPr>
        <w:spacing w:line="240" w:lineRule="auto"/>
        <w:jc w:val="center"/>
        <w:rPr>
          <w:rFonts w:ascii="Tw Cen MT" w:hAnsi="Tw Cen MT"/>
          <w:b/>
          <w:sz w:val="24"/>
          <w:szCs w:val="24"/>
        </w:rPr>
      </w:pPr>
    </w:p>
    <w:p w:rsidR="00FB5B60" w:rsidRPr="00FB5B60" w:rsidRDefault="00FB5B60" w:rsidP="00FB5B60">
      <w:pPr>
        <w:spacing w:line="240" w:lineRule="auto"/>
        <w:jc w:val="center"/>
        <w:rPr>
          <w:rFonts w:ascii="Tw Cen MT" w:hAnsi="Tw Cen MT"/>
          <w:b/>
          <w:sz w:val="24"/>
          <w:szCs w:val="24"/>
        </w:rPr>
      </w:pPr>
      <w:r w:rsidRPr="00FB5B60">
        <w:rPr>
          <w:rFonts w:ascii="Tw Cen MT" w:hAnsi="Tw Cen MT"/>
          <w:b/>
          <w:sz w:val="24"/>
          <w:szCs w:val="24"/>
        </w:rPr>
        <w:t xml:space="preserve">GOVERNANCE DOCUMENT </w:t>
      </w:r>
    </w:p>
    <w:p w:rsidR="00FB5B60" w:rsidRPr="00FB5B60" w:rsidRDefault="00FB5B60" w:rsidP="00FB5B60">
      <w:pPr>
        <w:spacing w:line="240" w:lineRule="auto"/>
        <w:jc w:val="center"/>
        <w:rPr>
          <w:rFonts w:ascii="Tw Cen MT" w:hAnsi="Tw Cen MT"/>
          <w:b/>
          <w:sz w:val="24"/>
          <w:szCs w:val="24"/>
        </w:rPr>
      </w:pPr>
      <w:r w:rsidRPr="00FB5B60">
        <w:rPr>
          <w:rFonts w:ascii="Tw Cen MT" w:hAnsi="Tw Cen MT"/>
          <w:b/>
          <w:sz w:val="24"/>
          <w:szCs w:val="24"/>
        </w:rPr>
        <w:t xml:space="preserve">Adopted December 2008 </w:t>
      </w:r>
    </w:p>
    <w:p w:rsidR="00FB5B60" w:rsidRPr="00FB5B60" w:rsidRDefault="00FB5B60" w:rsidP="00FB5B60">
      <w:pPr>
        <w:spacing w:line="240" w:lineRule="auto"/>
        <w:jc w:val="center"/>
        <w:rPr>
          <w:rFonts w:ascii="Tw Cen MT" w:hAnsi="Tw Cen MT"/>
          <w:b/>
          <w:sz w:val="24"/>
          <w:szCs w:val="24"/>
        </w:rPr>
      </w:pPr>
      <w:r w:rsidRPr="00FB5B60">
        <w:rPr>
          <w:rFonts w:ascii="Tw Cen MT" w:hAnsi="Tw Cen MT"/>
          <w:b/>
          <w:sz w:val="24"/>
          <w:szCs w:val="24"/>
        </w:rPr>
        <w:t xml:space="preserve">Last Updated: July 2012 </w:t>
      </w:r>
    </w:p>
    <w:p w:rsidR="00FB5B60" w:rsidRPr="00FB5B60" w:rsidRDefault="00FB5B60" w:rsidP="00FB5B60">
      <w:pPr>
        <w:spacing w:line="240" w:lineRule="auto"/>
        <w:rPr>
          <w:rFonts w:ascii="Tw Cen MT" w:hAnsi="Tw Cen MT"/>
          <w:sz w:val="24"/>
          <w:szCs w:val="24"/>
        </w:rPr>
      </w:pPr>
    </w:p>
    <w:p w:rsidR="00FB5B60" w:rsidRPr="00FB5B60" w:rsidRDefault="00FB5B60" w:rsidP="00FB5B60">
      <w:pPr>
        <w:spacing w:line="240" w:lineRule="auto"/>
        <w:rPr>
          <w:rFonts w:ascii="Tw Cen MT" w:hAnsi="Tw Cen MT"/>
          <w:sz w:val="24"/>
          <w:szCs w:val="24"/>
        </w:rPr>
      </w:pPr>
      <w:r w:rsidRPr="00FB5B60">
        <w:rPr>
          <w:rFonts w:ascii="Tw Cen MT" w:hAnsi="Tw Cen MT"/>
          <w:b/>
          <w:sz w:val="24"/>
          <w:szCs w:val="24"/>
        </w:rPr>
        <w:br/>
        <w:t xml:space="preserve">I. Mission and Strategies: </w:t>
      </w:r>
      <w:r w:rsidRPr="00FB5B60">
        <w:rPr>
          <w:rFonts w:ascii="Tw Cen MT" w:hAnsi="Tw Cen MT"/>
          <w:sz w:val="24"/>
          <w:szCs w:val="24"/>
        </w:rPr>
        <w:t>The mission of Green Cities California (GCC) is to accelerate the adoption of sustainability policies and programs at local, regional, national and international levels through collaborative action.  Founded in 2007 by nine of the highest performance jurisdictions in the state relative to environmental protection, GCC members are bringing their extensive expertise to bear through the following strategies:</w:t>
      </w:r>
    </w:p>
    <w:p w:rsidR="00FB5B60" w:rsidRPr="00FB5B60" w:rsidRDefault="00FB5B60" w:rsidP="00FB5B60">
      <w:pPr>
        <w:tabs>
          <w:tab w:val="left" w:pos="0"/>
        </w:tabs>
        <w:autoSpaceDE w:val="0"/>
        <w:autoSpaceDN w:val="0"/>
        <w:adjustRightInd w:val="0"/>
        <w:spacing w:line="240" w:lineRule="auto"/>
        <w:rPr>
          <w:rFonts w:ascii="Tw Cen MT" w:hAnsi="Tw Cen MT"/>
          <w:sz w:val="24"/>
          <w:szCs w:val="24"/>
        </w:rPr>
      </w:pPr>
    </w:p>
    <w:p w:rsidR="00FB5B60" w:rsidRPr="00FB5B60" w:rsidRDefault="00FB5B60" w:rsidP="00FB5B60">
      <w:pPr>
        <w:numPr>
          <w:ilvl w:val="0"/>
          <w:numId w:val="1"/>
        </w:numPr>
        <w:tabs>
          <w:tab w:val="left" w:pos="0"/>
        </w:tabs>
        <w:autoSpaceDE w:val="0"/>
        <w:autoSpaceDN w:val="0"/>
        <w:adjustRightInd w:val="0"/>
        <w:spacing w:after="0" w:line="240" w:lineRule="auto"/>
        <w:rPr>
          <w:rFonts w:ascii="Tw Cen MT" w:hAnsi="Tw Cen MT"/>
          <w:sz w:val="24"/>
          <w:szCs w:val="24"/>
        </w:rPr>
      </w:pPr>
      <w:r w:rsidRPr="00FB5B60">
        <w:rPr>
          <w:rFonts w:ascii="Tw Cen MT" w:hAnsi="Tw Cen MT"/>
          <w:sz w:val="24"/>
          <w:szCs w:val="24"/>
        </w:rPr>
        <w:t>Collaborating on the achievement of specific and measurable actions for municipal and community operations through collaborative campaigns.</w:t>
      </w:r>
    </w:p>
    <w:p w:rsidR="00FB5B60" w:rsidRPr="00FB5B60" w:rsidRDefault="00FB5B60" w:rsidP="00FB5B60">
      <w:pPr>
        <w:tabs>
          <w:tab w:val="left" w:pos="0"/>
        </w:tabs>
        <w:autoSpaceDE w:val="0"/>
        <w:autoSpaceDN w:val="0"/>
        <w:adjustRightInd w:val="0"/>
        <w:spacing w:line="240" w:lineRule="auto"/>
        <w:ind w:left="360"/>
        <w:rPr>
          <w:rFonts w:ascii="Tw Cen MT" w:hAnsi="Tw Cen MT"/>
          <w:color w:val="000000"/>
          <w:sz w:val="24"/>
          <w:szCs w:val="24"/>
        </w:rPr>
      </w:pPr>
    </w:p>
    <w:p w:rsidR="00FB5B60" w:rsidRPr="00FB5B60" w:rsidRDefault="00FB5B60" w:rsidP="00FB5B60">
      <w:pPr>
        <w:numPr>
          <w:ilvl w:val="0"/>
          <w:numId w:val="1"/>
        </w:numPr>
        <w:tabs>
          <w:tab w:val="left" w:pos="0"/>
        </w:tabs>
        <w:autoSpaceDE w:val="0"/>
        <w:autoSpaceDN w:val="0"/>
        <w:adjustRightInd w:val="0"/>
        <w:spacing w:after="0" w:line="240" w:lineRule="auto"/>
        <w:rPr>
          <w:rFonts w:ascii="Tw Cen MT" w:hAnsi="Tw Cen MT"/>
          <w:color w:val="000000"/>
          <w:sz w:val="24"/>
          <w:szCs w:val="24"/>
        </w:rPr>
      </w:pPr>
      <w:r w:rsidRPr="00FB5B60">
        <w:rPr>
          <w:rFonts w:ascii="Tw Cen MT" w:hAnsi="Tw Cen MT"/>
          <w:sz w:val="24"/>
          <w:szCs w:val="24"/>
        </w:rPr>
        <w:lastRenderedPageBreak/>
        <w:t xml:space="preserve">Assisting local governments in California, the U.S., and internationally, in adopting and implementing sustainable policies and practices by sharing resources and best management practices. </w:t>
      </w:r>
    </w:p>
    <w:p w:rsidR="00FB5B60" w:rsidRPr="00FB5B60" w:rsidRDefault="00FB5B60" w:rsidP="00FB5B60">
      <w:pPr>
        <w:tabs>
          <w:tab w:val="left" w:pos="0"/>
        </w:tabs>
        <w:autoSpaceDE w:val="0"/>
        <w:autoSpaceDN w:val="0"/>
        <w:adjustRightInd w:val="0"/>
        <w:spacing w:line="240" w:lineRule="auto"/>
        <w:rPr>
          <w:rFonts w:ascii="Tw Cen MT" w:hAnsi="Tw Cen MT"/>
          <w:color w:val="000000"/>
          <w:sz w:val="24"/>
          <w:szCs w:val="24"/>
        </w:rPr>
      </w:pPr>
    </w:p>
    <w:p w:rsidR="00FB5B60" w:rsidRPr="00FB5B60" w:rsidRDefault="00FB5B60" w:rsidP="00FB5B60">
      <w:pPr>
        <w:numPr>
          <w:ilvl w:val="0"/>
          <w:numId w:val="1"/>
        </w:numPr>
        <w:tabs>
          <w:tab w:val="left" w:pos="0"/>
        </w:tabs>
        <w:autoSpaceDE w:val="0"/>
        <w:autoSpaceDN w:val="0"/>
        <w:adjustRightInd w:val="0"/>
        <w:spacing w:after="0" w:line="240" w:lineRule="auto"/>
        <w:rPr>
          <w:rFonts w:ascii="Tw Cen MT" w:hAnsi="Tw Cen MT"/>
          <w:color w:val="000000"/>
          <w:sz w:val="24"/>
          <w:szCs w:val="24"/>
        </w:rPr>
      </w:pPr>
      <w:r w:rsidRPr="00FB5B60">
        <w:rPr>
          <w:rFonts w:ascii="Tw Cen MT" w:hAnsi="Tw Cen MT"/>
          <w:sz w:val="24"/>
          <w:szCs w:val="24"/>
        </w:rPr>
        <w:t>Providing a forum within which leading urban sustainability pioneers can exchange information and ideas.</w:t>
      </w:r>
    </w:p>
    <w:p w:rsidR="00FB5B60" w:rsidRPr="00FB5B60" w:rsidRDefault="00FB5B60" w:rsidP="00FB5B60">
      <w:pPr>
        <w:tabs>
          <w:tab w:val="left" w:pos="0"/>
        </w:tabs>
        <w:autoSpaceDE w:val="0"/>
        <w:autoSpaceDN w:val="0"/>
        <w:adjustRightInd w:val="0"/>
        <w:spacing w:line="240" w:lineRule="auto"/>
        <w:rPr>
          <w:rFonts w:ascii="Tw Cen MT" w:hAnsi="Tw Cen MT"/>
          <w:color w:val="000000"/>
          <w:sz w:val="24"/>
          <w:szCs w:val="24"/>
        </w:rPr>
      </w:pPr>
    </w:p>
    <w:p w:rsidR="00FB5B60" w:rsidRPr="00FB5B60" w:rsidRDefault="00FB5B60" w:rsidP="00FB5B60">
      <w:pPr>
        <w:numPr>
          <w:ilvl w:val="0"/>
          <w:numId w:val="1"/>
        </w:numPr>
        <w:tabs>
          <w:tab w:val="left" w:pos="0"/>
        </w:tabs>
        <w:autoSpaceDE w:val="0"/>
        <w:autoSpaceDN w:val="0"/>
        <w:adjustRightInd w:val="0"/>
        <w:spacing w:after="0" w:line="240" w:lineRule="auto"/>
        <w:rPr>
          <w:rFonts w:ascii="Tw Cen MT" w:hAnsi="Tw Cen MT"/>
          <w:color w:val="000000"/>
          <w:sz w:val="24"/>
          <w:szCs w:val="24"/>
        </w:rPr>
      </w:pPr>
      <w:r w:rsidRPr="00FB5B60">
        <w:rPr>
          <w:rFonts w:ascii="Tw Cen MT" w:hAnsi="Tw Cen MT"/>
          <w:sz w:val="24"/>
          <w:szCs w:val="24"/>
        </w:rPr>
        <w:t>Influencing local, state and national policy by collaborating on policy proposals on which there is consensus.</w:t>
      </w:r>
    </w:p>
    <w:p w:rsidR="00FB5B60" w:rsidRPr="00FB5B60" w:rsidRDefault="00FB5B60" w:rsidP="00FB5B60">
      <w:pPr>
        <w:tabs>
          <w:tab w:val="left" w:pos="0"/>
        </w:tabs>
        <w:autoSpaceDE w:val="0"/>
        <w:autoSpaceDN w:val="0"/>
        <w:adjustRightInd w:val="0"/>
        <w:spacing w:line="240" w:lineRule="auto"/>
        <w:rPr>
          <w:rFonts w:ascii="Tw Cen MT" w:hAnsi="Tw Cen MT"/>
          <w:color w:val="000000"/>
          <w:sz w:val="24"/>
          <w:szCs w:val="24"/>
        </w:rPr>
      </w:pPr>
    </w:p>
    <w:p w:rsidR="00FB5B60" w:rsidRPr="00FB5B60" w:rsidRDefault="00FB5B60" w:rsidP="00FB5B60">
      <w:pPr>
        <w:numPr>
          <w:ilvl w:val="0"/>
          <w:numId w:val="1"/>
        </w:numPr>
        <w:tabs>
          <w:tab w:val="left" w:pos="0"/>
        </w:tabs>
        <w:autoSpaceDE w:val="0"/>
        <w:autoSpaceDN w:val="0"/>
        <w:adjustRightInd w:val="0"/>
        <w:spacing w:after="0" w:line="240" w:lineRule="auto"/>
        <w:rPr>
          <w:rFonts w:ascii="Tw Cen MT" w:hAnsi="Tw Cen MT"/>
          <w:color w:val="000000"/>
          <w:sz w:val="24"/>
          <w:szCs w:val="24"/>
        </w:rPr>
      </w:pPr>
      <w:r w:rsidRPr="00FB5B60">
        <w:rPr>
          <w:rFonts w:ascii="Tw Cen MT" w:hAnsi="Tw Cen MT"/>
          <w:sz w:val="24"/>
          <w:szCs w:val="24"/>
        </w:rPr>
        <w:t>Ensuring effective knowledge transfer, including the design and launch of a Best Practices website.</w:t>
      </w:r>
    </w:p>
    <w:p w:rsidR="00FB5B60" w:rsidRPr="00FB5B60" w:rsidRDefault="00FB5B60" w:rsidP="00FB5B60">
      <w:pPr>
        <w:spacing w:line="240" w:lineRule="auto"/>
        <w:rPr>
          <w:rFonts w:ascii="Tw Cen MT" w:hAnsi="Tw Cen MT"/>
          <w:b/>
          <w:sz w:val="24"/>
          <w:szCs w:val="24"/>
        </w:rPr>
      </w:pPr>
    </w:p>
    <w:p w:rsidR="00FB5B60" w:rsidRPr="00FB5B60" w:rsidRDefault="00FB5B60" w:rsidP="00FB5B60">
      <w:pPr>
        <w:spacing w:line="240" w:lineRule="auto"/>
        <w:rPr>
          <w:rFonts w:ascii="Tw Cen MT" w:hAnsi="Tw Cen MT"/>
          <w:sz w:val="24"/>
          <w:szCs w:val="24"/>
        </w:rPr>
      </w:pPr>
      <w:r w:rsidRPr="00FB5B60">
        <w:rPr>
          <w:rFonts w:ascii="Tw Cen MT" w:hAnsi="Tw Cen MT"/>
          <w:b/>
          <w:sz w:val="24"/>
          <w:szCs w:val="24"/>
        </w:rPr>
        <w:t xml:space="preserve">II. Organizational Structure:  </w:t>
      </w:r>
      <w:r w:rsidRPr="00FB5B60">
        <w:rPr>
          <w:rFonts w:ascii="Tw Cen MT" w:hAnsi="Tw Cen MT"/>
          <w:sz w:val="24"/>
          <w:szCs w:val="24"/>
        </w:rPr>
        <w:t xml:space="preserve">The Founding Members of Green Cities California (GCC) are: Los Angeles, Marin County, Pasadena, Sacramento, San Diego, San Francisco, San Jose, Santa Barbara and Santa Monica. </w:t>
      </w:r>
    </w:p>
    <w:p w:rsidR="00FB5B60" w:rsidRPr="00FB5B60" w:rsidRDefault="00FB5B60" w:rsidP="00FB5B60">
      <w:pPr>
        <w:spacing w:line="240" w:lineRule="auto"/>
        <w:rPr>
          <w:rFonts w:ascii="Tw Cen MT" w:hAnsi="Tw Cen MT"/>
          <w:sz w:val="24"/>
          <w:szCs w:val="24"/>
        </w:rPr>
      </w:pPr>
    </w:p>
    <w:p w:rsidR="00FB5B60" w:rsidRPr="00FB5B60" w:rsidRDefault="00FB5B60" w:rsidP="00FB5B60">
      <w:pPr>
        <w:spacing w:line="240" w:lineRule="auto"/>
        <w:rPr>
          <w:rFonts w:ascii="Tw Cen MT" w:hAnsi="Tw Cen MT"/>
          <w:sz w:val="24"/>
          <w:szCs w:val="24"/>
        </w:rPr>
      </w:pPr>
      <w:r w:rsidRPr="00FB5B60">
        <w:rPr>
          <w:rFonts w:ascii="Tw Cen MT" w:hAnsi="Tw Cen MT"/>
          <w:sz w:val="24"/>
          <w:szCs w:val="24"/>
        </w:rPr>
        <w:t>A Steering Committee serves as the governing body. The Steering Committee, which meets bi-weekly via conference call to set priorities and guide the organization, is responsible for financial decisions and performance evaluations.  A Director has been hired under contract to provide professional services to GCC relative to communications, collaborative campaigns, fundraising, and legislative coordination.</w:t>
      </w:r>
    </w:p>
    <w:p w:rsidR="00FB5B60" w:rsidRPr="00FB5B60" w:rsidRDefault="00FB5B60" w:rsidP="00FB5B60">
      <w:pPr>
        <w:spacing w:line="240" w:lineRule="auto"/>
        <w:rPr>
          <w:rFonts w:ascii="Tw Cen MT" w:hAnsi="Tw Cen MT"/>
          <w:sz w:val="24"/>
          <w:szCs w:val="24"/>
        </w:rPr>
      </w:pPr>
    </w:p>
    <w:p w:rsidR="00FB5B60" w:rsidRPr="00FB5B60" w:rsidRDefault="00FB5B60" w:rsidP="00FB5B60">
      <w:pPr>
        <w:spacing w:line="240" w:lineRule="auto"/>
        <w:rPr>
          <w:rFonts w:ascii="Tw Cen MT" w:hAnsi="Tw Cen MT"/>
          <w:sz w:val="24"/>
          <w:szCs w:val="24"/>
        </w:rPr>
      </w:pPr>
      <w:r w:rsidRPr="00FB5B60">
        <w:rPr>
          <w:rFonts w:ascii="Tw Cen MT" w:hAnsi="Tw Cen MT"/>
          <w:sz w:val="24"/>
          <w:szCs w:val="24"/>
        </w:rPr>
        <w:t>Retreats are held bi-annually for all GCC representatives to review successes and challenges of the previous six months, and establish priorities for the next six months.</w:t>
      </w:r>
    </w:p>
    <w:p w:rsidR="00FB5B60" w:rsidRPr="00FB5B60" w:rsidRDefault="00FB5B60" w:rsidP="00FB5B60">
      <w:pPr>
        <w:spacing w:line="240" w:lineRule="auto"/>
        <w:rPr>
          <w:rFonts w:ascii="Tw Cen MT" w:hAnsi="Tw Cen MT"/>
          <w:sz w:val="24"/>
          <w:szCs w:val="24"/>
        </w:rPr>
      </w:pPr>
    </w:p>
    <w:p w:rsidR="00FB5B60" w:rsidRPr="00FB5B60" w:rsidRDefault="00FB5B60" w:rsidP="00FB5B60">
      <w:pPr>
        <w:spacing w:line="240" w:lineRule="auto"/>
        <w:rPr>
          <w:rFonts w:ascii="Tw Cen MT" w:hAnsi="Tw Cen MT"/>
          <w:sz w:val="24"/>
          <w:szCs w:val="24"/>
        </w:rPr>
      </w:pPr>
      <w:r w:rsidRPr="00FB5B60">
        <w:rPr>
          <w:rFonts w:ascii="Tw Cen MT" w:hAnsi="Tw Cen MT"/>
          <w:sz w:val="24"/>
          <w:szCs w:val="24"/>
        </w:rPr>
        <w:t xml:space="preserve">Members are welcome to participate at whatever level their schedule allows. Participation on the Steering Committee includes a commitment to a one hour </w:t>
      </w:r>
      <w:r w:rsidRPr="00FB5B60">
        <w:rPr>
          <w:rFonts w:ascii="Tw Cen MT" w:hAnsi="Tw Cen MT"/>
          <w:sz w:val="24"/>
          <w:szCs w:val="24"/>
        </w:rPr>
        <w:lastRenderedPageBreak/>
        <w:t>bi-weekly conference call. Otherwise, being an active GCC participant includes attending bi-annual retreats, participating in collaborative campaigns and other GCC initiatives, and responding to informational requests for outreach and collaborative campaign purposes.</w:t>
      </w:r>
    </w:p>
    <w:p w:rsidR="00FB5B60" w:rsidRPr="00FB5B60" w:rsidRDefault="00FB5B60" w:rsidP="00FB5B60">
      <w:pPr>
        <w:spacing w:line="240" w:lineRule="auto"/>
        <w:rPr>
          <w:rFonts w:ascii="Tw Cen MT" w:hAnsi="Tw Cen MT"/>
          <w:sz w:val="24"/>
          <w:szCs w:val="24"/>
        </w:rPr>
      </w:pPr>
    </w:p>
    <w:p w:rsidR="00FB5B60" w:rsidRPr="00FB5B60" w:rsidRDefault="00FB5B60" w:rsidP="00FB5B60">
      <w:pPr>
        <w:spacing w:line="240" w:lineRule="auto"/>
        <w:rPr>
          <w:rFonts w:ascii="Tw Cen MT" w:hAnsi="Tw Cen MT"/>
          <w:sz w:val="24"/>
          <w:szCs w:val="24"/>
        </w:rPr>
      </w:pPr>
      <w:r w:rsidRPr="00FB5B60">
        <w:rPr>
          <w:rFonts w:ascii="Tw Cen MT" w:hAnsi="Tw Cen MT"/>
          <w:sz w:val="24"/>
          <w:szCs w:val="24"/>
        </w:rPr>
        <w:t xml:space="preserve">The San Diego Foundation serves as GCC’s fiscal sponsor.  </w:t>
      </w:r>
      <w:r w:rsidRPr="00FB5B60">
        <w:rPr>
          <w:rFonts w:ascii="Tw Cen MT" w:hAnsi="Tw Cen MT"/>
          <w:sz w:val="24"/>
          <w:szCs w:val="24"/>
        </w:rPr>
        <w:br/>
      </w:r>
    </w:p>
    <w:p w:rsidR="00FB5B60" w:rsidRPr="00FB5B60" w:rsidRDefault="00FB5B60" w:rsidP="00FB5B60">
      <w:pPr>
        <w:spacing w:line="240" w:lineRule="auto"/>
        <w:rPr>
          <w:rFonts w:ascii="Tw Cen MT" w:hAnsi="Tw Cen MT"/>
          <w:sz w:val="24"/>
          <w:szCs w:val="24"/>
        </w:rPr>
      </w:pPr>
      <w:r w:rsidRPr="00FB5B60">
        <w:rPr>
          <w:rFonts w:ascii="Tw Cen MT" w:hAnsi="Tw Cen MT"/>
          <w:b/>
          <w:sz w:val="24"/>
          <w:szCs w:val="24"/>
        </w:rPr>
        <w:t xml:space="preserve">III. Planning and Priorities:  </w:t>
      </w:r>
      <w:r w:rsidRPr="00FB5B60">
        <w:rPr>
          <w:rFonts w:ascii="Tw Cen MT" w:hAnsi="Tw Cen MT"/>
          <w:sz w:val="24"/>
          <w:szCs w:val="24"/>
        </w:rPr>
        <w:t>Decisions on collaborative campaigns and policy priorities are made by participating members at the bi-annual retreats. Decisions are made by consensus.</w:t>
      </w:r>
    </w:p>
    <w:p w:rsidR="00FB5B60" w:rsidRPr="00FB5B60" w:rsidRDefault="00FB5B60" w:rsidP="00FB5B60">
      <w:pPr>
        <w:spacing w:line="240" w:lineRule="auto"/>
        <w:rPr>
          <w:rFonts w:ascii="Tw Cen MT" w:hAnsi="Tw Cen MT"/>
          <w:sz w:val="24"/>
          <w:szCs w:val="24"/>
        </w:rPr>
      </w:pPr>
    </w:p>
    <w:p w:rsidR="00FB5B60" w:rsidRPr="00FB5B60" w:rsidRDefault="00FB5B60" w:rsidP="00FB5B60">
      <w:pPr>
        <w:spacing w:line="240" w:lineRule="auto"/>
        <w:rPr>
          <w:rFonts w:ascii="Tw Cen MT" w:hAnsi="Tw Cen MT"/>
          <w:sz w:val="24"/>
          <w:szCs w:val="24"/>
        </w:rPr>
      </w:pPr>
      <w:r w:rsidRPr="00FB5B60">
        <w:rPr>
          <w:rFonts w:ascii="Tw Cen MT" w:hAnsi="Tw Cen MT"/>
          <w:b/>
          <w:sz w:val="24"/>
          <w:szCs w:val="24"/>
        </w:rPr>
        <w:t>IV. Representing GCC</w:t>
      </w:r>
      <w:r w:rsidRPr="00FB5B60">
        <w:rPr>
          <w:rFonts w:ascii="Tw Cen MT" w:hAnsi="Tw Cen MT"/>
          <w:sz w:val="24"/>
          <w:szCs w:val="24"/>
        </w:rPr>
        <w:t>:  Once policy matters are agreed to, the GCC director drafts letters on legislative and policy initiatives for submittal to local, state and other agencies.  Drafts are sent to all GCC members for modification. Individual GCC members may choose to “opt-out” of being represented in such correspondence by notifying the GCC coordinator, who will note in the body of the letter on whose behalf the letter is being sent.   Participation by a simple majority of GCC members is required for correspondence to be sent on GCC letterhead, so if more than a majority of GCC members choose to opt-out, the correspondence will not be sent.  More frequently, GCC members will be provided with a template for submitting their own letter of support or opposition for a specific piece of legislation or initiative.</w:t>
      </w:r>
      <w:r w:rsidRPr="00FB5B60">
        <w:rPr>
          <w:rFonts w:ascii="Tw Cen MT" w:hAnsi="Tw Cen MT"/>
          <w:sz w:val="24"/>
          <w:szCs w:val="24"/>
        </w:rPr>
        <w:br/>
      </w:r>
    </w:p>
    <w:p w:rsidR="00FB5B60" w:rsidRPr="00FB5B60" w:rsidRDefault="00FB5B60" w:rsidP="00FB5B60">
      <w:pPr>
        <w:spacing w:line="240" w:lineRule="auto"/>
        <w:rPr>
          <w:rFonts w:ascii="Tw Cen MT" w:hAnsi="Tw Cen MT"/>
          <w:sz w:val="24"/>
          <w:szCs w:val="24"/>
        </w:rPr>
      </w:pPr>
      <w:r w:rsidRPr="00FB5B60">
        <w:rPr>
          <w:rFonts w:ascii="Tw Cen MT" w:hAnsi="Tw Cen MT"/>
          <w:b/>
          <w:sz w:val="24"/>
          <w:szCs w:val="24"/>
        </w:rPr>
        <w:t xml:space="preserve">V. Fiduciary Responsibilities: </w:t>
      </w:r>
      <w:r w:rsidRPr="00FB5B60">
        <w:rPr>
          <w:rFonts w:ascii="Tw Cen MT" w:hAnsi="Tw Cen MT"/>
          <w:sz w:val="24"/>
          <w:szCs w:val="24"/>
        </w:rPr>
        <w:t>The annual budget is drafted by a member of the Steering Committee, reviewed by the full Steering Committee and approved by the full membership at the spring retreat.  Financial statements are reviewed by the Steering Committee quarterly.</w:t>
      </w:r>
    </w:p>
    <w:p w:rsidR="00FB5B60" w:rsidRPr="00FB5B60" w:rsidRDefault="00FB5B60" w:rsidP="00FB5B60">
      <w:pPr>
        <w:spacing w:line="240" w:lineRule="auto"/>
        <w:rPr>
          <w:rFonts w:ascii="Tw Cen MT" w:hAnsi="Tw Cen MT"/>
          <w:sz w:val="24"/>
          <w:szCs w:val="24"/>
        </w:rPr>
      </w:pPr>
    </w:p>
    <w:p w:rsidR="00FB5B60" w:rsidRPr="00FB5B60" w:rsidRDefault="00FB5B60" w:rsidP="00FB5B60">
      <w:pPr>
        <w:spacing w:line="240" w:lineRule="auto"/>
        <w:rPr>
          <w:rFonts w:ascii="Tw Cen MT" w:hAnsi="Tw Cen MT"/>
          <w:sz w:val="24"/>
          <w:szCs w:val="24"/>
        </w:rPr>
      </w:pPr>
      <w:r w:rsidRPr="00FB5B60">
        <w:rPr>
          <w:rFonts w:ascii="Tw Cen MT" w:hAnsi="Tw Cen MT"/>
          <w:b/>
          <w:sz w:val="24"/>
          <w:szCs w:val="24"/>
        </w:rPr>
        <w:t xml:space="preserve">VI. Criteria for Membership in GCC:  </w:t>
      </w:r>
      <w:r w:rsidRPr="00FB5B60">
        <w:rPr>
          <w:rFonts w:ascii="Tw Cen MT" w:hAnsi="Tw Cen MT"/>
          <w:sz w:val="24"/>
          <w:szCs w:val="24"/>
        </w:rPr>
        <w:t xml:space="preserve">The bar for membership in GCC is fairly high, by design. To become a member of GCC, a jurisdiction must meet the following four conditions: </w:t>
      </w:r>
      <w:r w:rsidRPr="00FB5B60">
        <w:rPr>
          <w:rFonts w:ascii="Tw Cen MT" w:hAnsi="Tw Cen MT"/>
          <w:sz w:val="24"/>
          <w:szCs w:val="24"/>
        </w:rPr>
        <w:br/>
      </w:r>
      <w:r w:rsidRPr="00FB5B60">
        <w:rPr>
          <w:rFonts w:ascii="Tw Cen MT" w:hAnsi="Tw Cen MT"/>
          <w:sz w:val="24"/>
          <w:szCs w:val="24"/>
        </w:rPr>
        <w:lastRenderedPageBreak/>
        <w:br/>
        <w:t>1. Formal adoption of the GCC Sustainability Accord, by resolution;</w:t>
      </w:r>
    </w:p>
    <w:p w:rsidR="00FB5B60" w:rsidRPr="00FB5B60" w:rsidRDefault="00FB5B60" w:rsidP="00FB5B60">
      <w:pPr>
        <w:spacing w:line="240" w:lineRule="auto"/>
        <w:rPr>
          <w:rFonts w:ascii="Tw Cen MT" w:hAnsi="Tw Cen MT"/>
          <w:sz w:val="24"/>
          <w:szCs w:val="24"/>
        </w:rPr>
      </w:pPr>
      <w:r w:rsidRPr="00FB5B60">
        <w:rPr>
          <w:rFonts w:ascii="Tw Cen MT" w:hAnsi="Tw Cen MT"/>
          <w:sz w:val="24"/>
          <w:szCs w:val="24"/>
        </w:rPr>
        <w:t>2. Endorsement of the Urban Environmental Accords;</w:t>
      </w:r>
    </w:p>
    <w:p w:rsidR="00FB5B60" w:rsidRPr="00FB5B60" w:rsidRDefault="00FB5B60" w:rsidP="00FB5B60">
      <w:pPr>
        <w:spacing w:line="240" w:lineRule="auto"/>
        <w:rPr>
          <w:rFonts w:ascii="Tw Cen MT" w:hAnsi="Tw Cen MT"/>
          <w:sz w:val="24"/>
          <w:szCs w:val="24"/>
        </w:rPr>
      </w:pPr>
      <w:r w:rsidRPr="00FB5B60">
        <w:rPr>
          <w:rFonts w:ascii="Tw Cen MT" w:hAnsi="Tw Cen MT"/>
          <w:sz w:val="24"/>
          <w:szCs w:val="24"/>
        </w:rPr>
        <w:t>3. Formal adoption of a local Climate Action or Sustainability Plan; and</w:t>
      </w:r>
      <w:r w:rsidRPr="00FB5B60">
        <w:rPr>
          <w:rFonts w:ascii="Tw Cen MT" w:hAnsi="Tw Cen MT"/>
          <w:sz w:val="24"/>
          <w:szCs w:val="24"/>
        </w:rPr>
        <w:br/>
        <w:t>4. Endorsement of the U.S. Conference of Mayors Climate Protection Agreement.</w:t>
      </w:r>
      <w:r w:rsidRPr="00FB5B60">
        <w:rPr>
          <w:rFonts w:ascii="Tw Cen MT" w:hAnsi="Tw Cen MT"/>
          <w:sz w:val="24"/>
          <w:szCs w:val="24"/>
        </w:rPr>
        <w:br/>
      </w:r>
    </w:p>
    <w:p w:rsidR="00FB5B60" w:rsidRPr="00FB5B60" w:rsidRDefault="00FB5B60" w:rsidP="00FB5B60">
      <w:pPr>
        <w:spacing w:line="240" w:lineRule="auto"/>
        <w:rPr>
          <w:rFonts w:ascii="Tw Cen MT" w:hAnsi="Tw Cen MT"/>
          <w:sz w:val="24"/>
          <w:szCs w:val="24"/>
        </w:rPr>
      </w:pPr>
      <w:r w:rsidRPr="00FB5B60">
        <w:rPr>
          <w:rFonts w:ascii="Tw Cen MT" w:hAnsi="Tw Cen MT"/>
          <w:b/>
          <w:sz w:val="24"/>
          <w:szCs w:val="24"/>
        </w:rPr>
        <w:t xml:space="preserve">VII. Member Responsibilities: </w:t>
      </w:r>
      <w:r w:rsidRPr="00FB5B60">
        <w:rPr>
          <w:rFonts w:ascii="Tw Cen MT" w:hAnsi="Tw Cen MT"/>
          <w:sz w:val="24"/>
          <w:szCs w:val="24"/>
        </w:rPr>
        <w:t>In joining GCC, members agree to the following:</w:t>
      </w:r>
    </w:p>
    <w:p w:rsidR="00FB5B60" w:rsidRPr="00FB5B60" w:rsidRDefault="00FB5B60" w:rsidP="00FB5B60">
      <w:pPr>
        <w:spacing w:line="240" w:lineRule="auto"/>
        <w:rPr>
          <w:rFonts w:ascii="Tw Cen MT" w:hAnsi="Tw Cen MT"/>
          <w:sz w:val="24"/>
          <w:szCs w:val="24"/>
        </w:rPr>
      </w:pPr>
    </w:p>
    <w:p w:rsidR="00FB5B60" w:rsidRPr="00FB5B60" w:rsidRDefault="00FB5B60" w:rsidP="00FB5B60">
      <w:pPr>
        <w:numPr>
          <w:ilvl w:val="0"/>
          <w:numId w:val="2"/>
        </w:numPr>
        <w:spacing w:after="0" w:line="240" w:lineRule="auto"/>
        <w:rPr>
          <w:rFonts w:ascii="Tw Cen MT" w:hAnsi="Tw Cen MT"/>
          <w:sz w:val="24"/>
          <w:szCs w:val="24"/>
        </w:rPr>
      </w:pPr>
      <w:r w:rsidRPr="00FB5B60">
        <w:rPr>
          <w:rFonts w:ascii="Tw Cen MT" w:hAnsi="Tw Cen MT"/>
          <w:sz w:val="24"/>
          <w:szCs w:val="24"/>
        </w:rPr>
        <w:t>Participation in a majority of the collaborative campaigns.</w:t>
      </w:r>
    </w:p>
    <w:p w:rsidR="00FB5B60" w:rsidRPr="00FB5B60" w:rsidRDefault="00FB5B60" w:rsidP="00FB5B60">
      <w:pPr>
        <w:spacing w:line="240" w:lineRule="auto"/>
        <w:ind w:left="360"/>
        <w:rPr>
          <w:rFonts w:ascii="Tw Cen MT" w:hAnsi="Tw Cen MT"/>
          <w:sz w:val="24"/>
          <w:szCs w:val="24"/>
        </w:rPr>
      </w:pPr>
    </w:p>
    <w:p w:rsidR="00FB5B60" w:rsidRPr="00FB5B60" w:rsidRDefault="00FB5B60" w:rsidP="00FB5B60">
      <w:pPr>
        <w:numPr>
          <w:ilvl w:val="0"/>
          <w:numId w:val="2"/>
        </w:numPr>
        <w:spacing w:after="0" w:line="240" w:lineRule="auto"/>
        <w:rPr>
          <w:rFonts w:ascii="Tw Cen MT" w:hAnsi="Tw Cen MT"/>
          <w:sz w:val="24"/>
          <w:szCs w:val="24"/>
        </w:rPr>
      </w:pPr>
      <w:r w:rsidRPr="00FB5B60">
        <w:rPr>
          <w:rFonts w:ascii="Tw Cen MT" w:hAnsi="Tw Cen MT"/>
          <w:sz w:val="24"/>
          <w:szCs w:val="24"/>
        </w:rPr>
        <w:t>Collaborative efforts with GCC members to influence state and national policy in the following arenas:</w:t>
      </w:r>
    </w:p>
    <w:p w:rsidR="00FB5B60" w:rsidRPr="00FB5B60" w:rsidRDefault="00FB5B60" w:rsidP="00FB5B60">
      <w:pPr>
        <w:numPr>
          <w:ilvl w:val="1"/>
          <w:numId w:val="2"/>
        </w:numPr>
        <w:spacing w:after="0" w:line="240" w:lineRule="auto"/>
        <w:rPr>
          <w:rFonts w:ascii="Tw Cen MT" w:hAnsi="Tw Cen MT"/>
          <w:sz w:val="24"/>
          <w:szCs w:val="24"/>
        </w:rPr>
      </w:pPr>
      <w:r w:rsidRPr="00FB5B60">
        <w:rPr>
          <w:rFonts w:ascii="Tw Cen MT" w:hAnsi="Tw Cen MT"/>
          <w:sz w:val="24"/>
          <w:szCs w:val="24"/>
        </w:rPr>
        <w:t>Greenhouse gas emissions reductions</w:t>
      </w:r>
    </w:p>
    <w:p w:rsidR="00FB5B60" w:rsidRPr="00FB5B60" w:rsidRDefault="00FB5B60" w:rsidP="00FB5B60">
      <w:pPr>
        <w:numPr>
          <w:ilvl w:val="1"/>
          <w:numId w:val="2"/>
        </w:numPr>
        <w:spacing w:after="0" w:line="240" w:lineRule="auto"/>
        <w:rPr>
          <w:rFonts w:ascii="Tw Cen MT" w:hAnsi="Tw Cen MT"/>
          <w:sz w:val="24"/>
          <w:szCs w:val="24"/>
        </w:rPr>
      </w:pPr>
      <w:r w:rsidRPr="00FB5B60">
        <w:rPr>
          <w:rFonts w:ascii="Tw Cen MT" w:hAnsi="Tw Cen MT"/>
          <w:sz w:val="24"/>
          <w:szCs w:val="24"/>
        </w:rPr>
        <w:t>Extended Producer Responsibility (EPR)</w:t>
      </w:r>
    </w:p>
    <w:p w:rsidR="00FB5B60" w:rsidRPr="00FB5B60" w:rsidRDefault="00FB5B60" w:rsidP="00FB5B60">
      <w:pPr>
        <w:numPr>
          <w:ilvl w:val="1"/>
          <w:numId w:val="2"/>
        </w:numPr>
        <w:spacing w:after="0" w:line="240" w:lineRule="auto"/>
        <w:rPr>
          <w:rFonts w:ascii="Tw Cen MT" w:hAnsi="Tw Cen MT"/>
          <w:sz w:val="24"/>
          <w:szCs w:val="24"/>
        </w:rPr>
      </w:pPr>
      <w:r w:rsidRPr="00FB5B60">
        <w:rPr>
          <w:rFonts w:ascii="Tw Cen MT" w:hAnsi="Tw Cen MT"/>
          <w:sz w:val="24"/>
          <w:szCs w:val="24"/>
        </w:rPr>
        <w:t>Sustainable land use, building and development</w:t>
      </w:r>
    </w:p>
    <w:p w:rsidR="00FB5B60" w:rsidRPr="00FB5B60" w:rsidRDefault="00FB5B60" w:rsidP="00FB5B60">
      <w:pPr>
        <w:numPr>
          <w:ilvl w:val="1"/>
          <w:numId w:val="2"/>
        </w:numPr>
        <w:spacing w:after="0" w:line="240" w:lineRule="auto"/>
        <w:rPr>
          <w:rFonts w:ascii="Tw Cen MT" w:hAnsi="Tw Cen MT"/>
          <w:sz w:val="24"/>
          <w:szCs w:val="24"/>
        </w:rPr>
      </w:pPr>
      <w:r w:rsidRPr="00FB5B60">
        <w:rPr>
          <w:rFonts w:ascii="Tw Cen MT" w:hAnsi="Tw Cen MT"/>
          <w:sz w:val="24"/>
          <w:szCs w:val="24"/>
        </w:rPr>
        <w:t>Waste reduction</w:t>
      </w:r>
    </w:p>
    <w:p w:rsidR="00FB5B60" w:rsidRPr="00FB5B60" w:rsidRDefault="00FB5B60" w:rsidP="00FB5B60">
      <w:pPr>
        <w:numPr>
          <w:ilvl w:val="1"/>
          <w:numId w:val="2"/>
        </w:numPr>
        <w:spacing w:after="0" w:line="240" w:lineRule="auto"/>
        <w:rPr>
          <w:rFonts w:ascii="Tw Cen MT" w:hAnsi="Tw Cen MT"/>
          <w:sz w:val="24"/>
          <w:szCs w:val="24"/>
        </w:rPr>
      </w:pPr>
      <w:r w:rsidRPr="00FB5B60">
        <w:rPr>
          <w:rFonts w:ascii="Tw Cen MT" w:hAnsi="Tw Cen MT"/>
          <w:sz w:val="24"/>
          <w:szCs w:val="24"/>
        </w:rPr>
        <w:t>Water conservation</w:t>
      </w:r>
    </w:p>
    <w:p w:rsidR="00FB5B60" w:rsidRPr="00FB5B60" w:rsidRDefault="00FB5B60" w:rsidP="00FB5B60">
      <w:pPr>
        <w:numPr>
          <w:ilvl w:val="1"/>
          <w:numId w:val="2"/>
        </w:numPr>
        <w:spacing w:after="0" w:line="240" w:lineRule="auto"/>
        <w:rPr>
          <w:rFonts w:ascii="Tw Cen MT" w:hAnsi="Tw Cen MT"/>
          <w:sz w:val="24"/>
          <w:szCs w:val="24"/>
        </w:rPr>
      </w:pPr>
      <w:r w:rsidRPr="00FB5B60">
        <w:rPr>
          <w:rFonts w:ascii="Tw Cen MT" w:hAnsi="Tw Cen MT"/>
          <w:sz w:val="24"/>
          <w:szCs w:val="24"/>
        </w:rPr>
        <w:t xml:space="preserve">Energy efficiency and renewable energy </w:t>
      </w:r>
    </w:p>
    <w:p w:rsidR="00FB5B60" w:rsidRPr="00FB5B60" w:rsidRDefault="00FB5B60" w:rsidP="00FB5B60">
      <w:pPr>
        <w:numPr>
          <w:ilvl w:val="1"/>
          <w:numId w:val="2"/>
        </w:numPr>
        <w:spacing w:after="0" w:line="240" w:lineRule="auto"/>
        <w:rPr>
          <w:rFonts w:ascii="Tw Cen MT" w:hAnsi="Tw Cen MT"/>
          <w:sz w:val="24"/>
          <w:szCs w:val="24"/>
        </w:rPr>
      </w:pPr>
      <w:r w:rsidRPr="00FB5B60">
        <w:rPr>
          <w:rFonts w:ascii="Tw Cen MT" w:hAnsi="Tw Cen MT"/>
          <w:sz w:val="24"/>
          <w:szCs w:val="24"/>
        </w:rPr>
        <w:t>Reduction in vehicle miles traveled and single occupancy vehicles</w:t>
      </w:r>
    </w:p>
    <w:p w:rsidR="00FB5B60" w:rsidRPr="00FB5B60" w:rsidRDefault="00FB5B60" w:rsidP="00FB5B60">
      <w:pPr>
        <w:numPr>
          <w:ilvl w:val="1"/>
          <w:numId w:val="2"/>
        </w:numPr>
        <w:spacing w:after="0" w:line="240" w:lineRule="auto"/>
        <w:rPr>
          <w:rFonts w:ascii="Tw Cen MT" w:hAnsi="Tw Cen MT"/>
          <w:sz w:val="24"/>
          <w:szCs w:val="24"/>
        </w:rPr>
      </w:pPr>
      <w:r w:rsidRPr="00FB5B60">
        <w:rPr>
          <w:rFonts w:ascii="Tw Cen MT" w:hAnsi="Tw Cen MT"/>
          <w:sz w:val="24"/>
          <w:szCs w:val="24"/>
        </w:rPr>
        <w:t>Equitable distribution of environmental benefits and burdens</w:t>
      </w:r>
    </w:p>
    <w:p w:rsidR="00FB5B60" w:rsidRPr="00FB5B60" w:rsidRDefault="00FB5B60" w:rsidP="00FB5B60">
      <w:pPr>
        <w:numPr>
          <w:ilvl w:val="1"/>
          <w:numId w:val="2"/>
        </w:numPr>
        <w:spacing w:after="0" w:line="240" w:lineRule="auto"/>
        <w:rPr>
          <w:rFonts w:ascii="Tw Cen MT" w:hAnsi="Tw Cen MT"/>
          <w:sz w:val="24"/>
          <w:szCs w:val="24"/>
        </w:rPr>
      </w:pPr>
      <w:r w:rsidRPr="00FB5B60">
        <w:rPr>
          <w:rFonts w:ascii="Tw Cen MT" w:hAnsi="Tw Cen MT"/>
          <w:sz w:val="24"/>
          <w:szCs w:val="24"/>
        </w:rPr>
        <w:t>Secure state and federal funding to enhance the ability of local government to accomplish their sustainability goals</w:t>
      </w:r>
    </w:p>
    <w:p w:rsidR="00FB5B60" w:rsidRPr="00FB5B60" w:rsidRDefault="00FB5B60" w:rsidP="00FB5B60">
      <w:pPr>
        <w:spacing w:line="240" w:lineRule="auto"/>
        <w:ind w:left="1080"/>
        <w:rPr>
          <w:rFonts w:ascii="Tw Cen MT" w:hAnsi="Tw Cen MT"/>
          <w:sz w:val="24"/>
          <w:szCs w:val="24"/>
        </w:rPr>
      </w:pPr>
    </w:p>
    <w:p w:rsidR="00FB5B60" w:rsidRPr="00FB5B60" w:rsidRDefault="00FB5B60" w:rsidP="00FB5B60">
      <w:pPr>
        <w:numPr>
          <w:ilvl w:val="0"/>
          <w:numId w:val="2"/>
        </w:numPr>
        <w:spacing w:after="0" w:line="240" w:lineRule="auto"/>
        <w:rPr>
          <w:rFonts w:ascii="Tw Cen MT" w:hAnsi="Tw Cen MT"/>
          <w:sz w:val="24"/>
          <w:szCs w:val="24"/>
        </w:rPr>
      </w:pPr>
      <w:r w:rsidRPr="00FB5B60">
        <w:rPr>
          <w:rFonts w:ascii="Tw Cen MT" w:hAnsi="Tw Cen MT"/>
          <w:sz w:val="24"/>
          <w:szCs w:val="24"/>
        </w:rPr>
        <w:t xml:space="preserve">Assist other local governments throughout the state and nation in adopting and implementing sustainable </w:t>
      </w:r>
      <w:proofErr w:type="spellStart"/>
      <w:r w:rsidRPr="00FB5B60">
        <w:rPr>
          <w:rFonts w:ascii="Tw Cen MT" w:hAnsi="Tw Cen MT"/>
          <w:sz w:val="24"/>
          <w:szCs w:val="24"/>
        </w:rPr>
        <w:t>polices</w:t>
      </w:r>
      <w:proofErr w:type="spellEnd"/>
      <w:r w:rsidRPr="00FB5B60">
        <w:rPr>
          <w:rFonts w:ascii="Tw Cen MT" w:hAnsi="Tw Cen MT"/>
          <w:sz w:val="24"/>
          <w:szCs w:val="24"/>
        </w:rPr>
        <w:t xml:space="preserve"> and practices.</w:t>
      </w:r>
    </w:p>
    <w:p w:rsidR="00FB5B60" w:rsidRPr="00FB5B60" w:rsidRDefault="00FB5B60" w:rsidP="00FB5B60">
      <w:pPr>
        <w:spacing w:line="240" w:lineRule="auto"/>
        <w:ind w:left="360"/>
        <w:rPr>
          <w:rFonts w:ascii="Tw Cen MT" w:hAnsi="Tw Cen MT"/>
          <w:sz w:val="24"/>
          <w:szCs w:val="24"/>
        </w:rPr>
      </w:pPr>
    </w:p>
    <w:p w:rsidR="00FB5B60" w:rsidRPr="00FB5B60" w:rsidRDefault="00FB5B60" w:rsidP="00FB5B60">
      <w:pPr>
        <w:numPr>
          <w:ilvl w:val="0"/>
          <w:numId w:val="2"/>
        </w:numPr>
        <w:spacing w:after="0" w:line="240" w:lineRule="auto"/>
        <w:rPr>
          <w:rFonts w:ascii="Tw Cen MT" w:hAnsi="Tw Cen MT"/>
          <w:sz w:val="24"/>
          <w:szCs w:val="24"/>
        </w:rPr>
      </w:pPr>
      <w:r w:rsidRPr="00FB5B60">
        <w:rPr>
          <w:rFonts w:ascii="Tw Cen MT" w:hAnsi="Tw Cen MT"/>
          <w:sz w:val="24"/>
          <w:szCs w:val="24"/>
        </w:rPr>
        <w:t>Ensure the following actions for municipal operations:</w:t>
      </w:r>
    </w:p>
    <w:p w:rsidR="00FB5B60" w:rsidRPr="00FB5B60" w:rsidRDefault="00FB5B60" w:rsidP="00FB5B60">
      <w:pPr>
        <w:pStyle w:val="ListParagraph"/>
        <w:rPr>
          <w:rFonts w:ascii="Tw Cen MT" w:hAnsi="Tw Cen MT"/>
          <w:sz w:val="24"/>
        </w:rPr>
      </w:pPr>
    </w:p>
    <w:p w:rsidR="00FB5B60" w:rsidRPr="00FB5B60" w:rsidRDefault="00FB5B60" w:rsidP="00FB5B60">
      <w:pPr>
        <w:numPr>
          <w:ilvl w:val="1"/>
          <w:numId w:val="3"/>
        </w:numPr>
        <w:spacing w:after="0" w:line="240" w:lineRule="auto"/>
        <w:rPr>
          <w:rFonts w:ascii="Tw Cen MT" w:hAnsi="Tw Cen MT"/>
          <w:sz w:val="24"/>
          <w:szCs w:val="24"/>
        </w:rPr>
      </w:pPr>
      <w:r w:rsidRPr="00FB5B60">
        <w:rPr>
          <w:rFonts w:ascii="Tw Cen MT" w:hAnsi="Tw Cen MT"/>
          <w:sz w:val="24"/>
          <w:szCs w:val="24"/>
        </w:rPr>
        <w:t>Purchase of “100% post-consumer recycled” paper for all government operations;</w:t>
      </w:r>
    </w:p>
    <w:p w:rsidR="00FB5B60" w:rsidRPr="00FB5B60" w:rsidRDefault="00FB5B60" w:rsidP="00FB5B60">
      <w:pPr>
        <w:numPr>
          <w:ilvl w:val="1"/>
          <w:numId w:val="3"/>
        </w:numPr>
        <w:spacing w:after="0" w:line="240" w:lineRule="auto"/>
        <w:rPr>
          <w:rFonts w:ascii="Tw Cen MT" w:hAnsi="Tw Cen MT"/>
          <w:b/>
          <w:bCs/>
          <w:sz w:val="24"/>
          <w:szCs w:val="24"/>
        </w:rPr>
      </w:pPr>
      <w:r w:rsidRPr="00FB5B60">
        <w:rPr>
          <w:rFonts w:ascii="Tw Cen MT" w:hAnsi="Tw Cen MT"/>
          <w:sz w:val="24"/>
          <w:szCs w:val="24"/>
        </w:rPr>
        <w:lastRenderedPageBreak/>
        <w:t>Elimination of the purchase of bottled water for government operations and government sponsored events.</w:t>
      </w:r>
      <w:r w:rsidRPr="00FB5B60">
        <w:rPr>
          <w:rFonts w:ascii="Tw Cen MT" w:hAnsi="Tw Cen MT" w:cs="Arial"/>
          <w:sz w:val="24"/>
          <w:szCs w:val="24"/>
          <w:lang w:val="en"/>
        </w:rPr>
        <w:t xml:space="preserve"> </w:t>
      </w:r>
    </w:p>
    <w:sectPr w:rsidR="00FB5B60" w:rsidRPr="00FB5B6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opperplate Gothic Bold">
    <w:charset w:val="00"/>
    <w:family w:val="swiss"/>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Bold">
    <w:panose1 w:val="00000000000000000000"/>
    <w:charset w:val="00"/>
    <w:family w:val="auto"/>
    <w:notTrueType/>
    <w:pitch w:val="default"/>
    <w:sig w:usb0="00000003" w:usb1="00000000" w:usb2="00000000" w:usb3="00000000" w:csb0="00000001" w:csb1="00000000"/>
  </w:font>
  <w:font w:name="Tw Cen MT">
    <w:altName w:val="Lucida Sans Unicode"/>
    <w:charset w:val="00"/>
    <w:family w:val="swiss"/>
    <w:pitch w:val="variable"/>
    <w:sig w:usb0="00000001" w:usb1="00000000" w:usb2="00000000" w:usb3="00000000" w:csb0="00000003"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FB45BD"/>
    <w:multiLevelType w:val="hybridMultilevel"/>
    <w:tmpl w:val="5018252E"/>
    <w:lvl w:ilvl="0" w:tplc="0409000F">
      <w:start w:val="1"/>
      <w:numFmt w:val="decimal"/>
      <w:lvlText w:val="%1."/>
      <w:lvlJc w:val="left"/>
      <w:pPr>
        <w:tabs>
          <w:tab w:val="num" w:pos="360"/>
        </w:tabs>
        <w:ind w:left="360" w:hanging="360"/>
      </w:pPr>
      <w:rPr>
        <w:rFonts w:hint="default"/>
      </w:rPr>
    </w:lvl>
    <w:lvl w:ilvl="1" w:tplc="02AE41F2">
      <w:start w:val="1"/>
      <w:numFmt w:val="bullet"/>
      <w:lvlText w:val=""/>
      <w:lvlJc w:val="left"/>
      <w:pPr>
        <w:tabs>
          <w:tab w:val="num" w:pos="1080"/>
        </w:tabs>
        <w:ind w:left="1080" w:hanging="360"/>
      </w:pPr>
      <w:rPr>
        <w:rFonts w:ascii="Symbol" w:hAnsi="Symbol"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15:restartNumberingAfterBreak="0">
    <w:nsid w:val="2146249C"/>
    <w:multiLevelType w:val="hybridMultilevel"/>
    <w:tmpl w:val="4FDE7064"/>
    <w:lvl w:ilvl="0" w:tplc="0409000F">
      <w:start w:val="1"/>
      <w:numFmt w:val="decimal"/>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pperplate Gothic Bold"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pperplate Gothic Bold"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pperplate Gothic Bold"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DBC30C4"/>
    <w:multiLevelType w:val="hybridMultilevel"/>
    <w:tmpl w:val="90860C6E"/>
    <w:lvl w:ilvl="0" w:tplc="0409000F">
      <w:start w:val="1"/>
      <w:numFmt w:val="decimal"/>
      <w:lvlText w:val="%1."/>
      <w:lvlJc w:val="left"/>
      <w:pPr>
        <w:tabs>
          <w:tab w:val="num" w:pos="720"/>
        </w:tabs>
        <w:ind w:left="720" w:hanging="360"/>
      </w:pPr>
    </w:lvl>
    <w:lvl w:ilvl="1" w:tplc="04090005">
      <w:start w:val="1"/>
      <w:numFmt w:val="bullet"/>
      <w:lvlText w:val=""/>
      <w:lvlJc w:val="left"/>
      <w:pPr>
        <w:tabs>
          <w:tab w:val="num" w:pos="1440"/>
        </w:tabs>
        <w:ind w:left="1440" w:hanging="360"/>
      </w:pPr>
      <w:rPr>
        <w:rFonts w:ascii="Wingdings" w:hAnsi="Wingdings"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5B60"/>
    <w:rsid w:val="009B092F"/>
    <w:rsid w:val="00D23571"/>
    <w:rsid w:val="00EE0C42"/>
    <w:rsid w:val="00FA12BB"/>
    <w:rsid w:val="00FB5B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809E584-B57E-4894-86AD-E7D0B27DF1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FB5B60"/>
    <w:rPr>
      <w:color w:val="0563C1" w:themeColor="hyperlink"/>
      <w:u w:val="single"/>
    </w:rPr>
  </w:style>
  <w:style w:type="paragraph" w:customStyle="1" w:styleId="Default">
    <w:name w:val="Default"/>
    <w:rsid w:val="00FB5B60"/>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ListParagraph">
    <w:name w:val="List Paragraph"/>
    <w:basedOn w:val="Normal"/>
    <w:uiPriority w:val="34"/>
    <w:qFormat/>
    <w:rsid w:val="00FB5B60"/>
    <w:pPr>
      <w:spacing w:after="0" w:line="272" w:lineRule="auto"/>
      <w:ind w:left="720"/>
      <w:jc w:val="both"/>
    </w:pPr>
    <w:rPr>
      <w:rFonts w:ascii="Arial" w:eastAsia="Times New Roman" w:hAnsi="Arial" w:cs="Times New Roman"/>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838</Words>
  <Characters>4781</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Linda Giannelli</dc:creator>
  <cp:keywords/>
  <dc:description/>
  <cp:lastModifiedBy>maggieullman</cp:lastModifiedBy>
  <cp:revision>2</cp:revision>
  <dcterms:created xsi:type="dcterms:W3CDTF">2016-08-15T18:01:00Z</dcterms:created>
  <dcterms:modified xsi:type="dcterms:W3CDTF">2016-08-15T18:01:00Z</dcterms:modified>
</cp:coreProperties>
</file>